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9" w:rsidRPr="008A4A59" w:rsidRDefault="008A4A59" w:rsidP="008A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A4A59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Информация о нарушениях, выявленных по результатам контрольных (надзорных) мероприятий без взаимодействия – наблюдений за соблюдением обязательных требований за 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январь</w:t>
      </w:r>
      <w:r w:rsidRPr="008A4A59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2024 года</w:t>
      </w:r>
    </w:p>
    <w:p w:rsidR="00AF560F" w:rsidRPr="003A35E2" w:rsidRDefault="00AF560F" w:rsidP="00C63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094E" w:rsidRPr="00A217AB" w:rsidRDefault="003B094E" w:rsidP="00050F1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2C21F2" w:rsidRPr="003A35E2" w:rsidRDefault="002C21F2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74"/>
        <w:gridCol w:w="4305"/>
        <w:gridCol w:w="2517"/>
      </w:tblGrid>
      <w:tr w:rsidR="000C5B68" w:rsidRPr="000C5B68" w:rsidTr="00233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0C5B68">
            <w:pPr>
              <w:jc w:val="both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23345B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В подразделе «Образование»  специального раздела «Сведения об образовательной организации» официального сайта, наименование предметных областей и учебных предметов в размещенном перечне учебных предметов, предусмотренных образовательной программой среднего общего образования, не соответствуют наименованиям, установленным в п. 18.3.1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413:</w:t>
            </w:r>
            <w:proofErr w:type="gramEnd"/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предметная область «Русский язык и литературно чтение» и учебные предметы «Литература, Русский язык, Родной язык и литературно чтение на родном языке» </w:t>
            </w:r>
            <w:proofErr w:type="gramStart"/>
            <w:r w:rsidRPr="00245BC7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245BC7">
              <w:rPr>
                <w:rFonts w:ascii="Times New Roman" w:hAnsi="Times New Roman" w:cs="Times New Roman"/>
              </w:rPr>
              <w:t xml:space="preserve"> «Русский язык и литература» и «Русский язык и литература» соответственно;</w:t>
            </w:r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учебный предмет «Информатика и ИКТ» вместо «Информатика»;</w:t>
            </w:r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предметная область «Общественные науки» и учебный предмет «История» вместо «Общественно-научные предметы» и «История, Обществознание, География»;</w:t>
            </w:r>
            <w:proofErr w:type="gramEnd"/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предметная область «естественные науки» и учебные предметы «Физика, Астрономия, Химия» вместо «Естественно-научные предметы» и «Физика, Химия, Биология»;</w:t>
            </w:r>
            <w:proofErr w:type="gramEnd"/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предметная область «Физическая культура» </w:t>
            </w:r>
            <w:proofErr w:type="gramStart"/>
            <w:r w:rsidRPr="00245BC7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245BC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45BC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245BC7">
              <w:rPr>
                <w:rFonts w:ascii="Times New Roman" w:hAnsi="Times New Roman" w:cs="Times New Roman"/>
              </w:rPr>
              <w:t xml:space="preserve"> культура, экология и основы </w:t>
            </w:r>
            <w:r w:rsidR="00BB47BC" w:rsidRPr="00245BC7">
              <w:rPr>
                <w:rFonts w:ascii="Times New Roman" w:hAnsi="Times New Roman" w:cs="Times New Roman"/>
              </w:rPr>
              <w:t>безопасности жизнедеятельности».</w:t>
            </w:r>
          </w:p>
          <w:p w:rsidR="000C5B68" w:rsidRPr="00245BC7" w:rsidRDefault="000C5B68" w:rsidP="00406B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 </w:t>
            </w:r>
          </w:p>
        </w:tc>
      </w:tr>
      <w:tr w:rsidR="0082723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245BC7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245BC7" w:rsidRDefault="00406B01" w:rsidP="00245BC7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не размещены:</w:t>
            </w:r>
          </w:p>
          <w:p w:rsidR="00406B01" w:rsidRPr="00245BC7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 xml:space="preserve">аннотации к рабочим программам </w:t>
            </w:r>
            <w:r w:rsidRPr="00245BC7">
              <w:rPr>
                <w:rFonts w:ascii="Times New Roman" w:eastAsia="Calibri" w:hAnsi="Times New Roman" w:cs="Times New Roman"/>
              </w:rPr>
              <w:lastRenderedPageBreak/>
              <w:t>дисциплин (по каждому учебному предмету, курсу, дисциплине (модулю), практики, в составе образовательной программы);</w:t>
            </w:r>
          </w:p>
          <w:p w:rsidR="00827236" w:rsidRPr="00245BC7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рабочая программа воспитания и календарный план воспитательной работы на 2023-2024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245BC7" w:rsidRDefault="00406B01" w:rsidP="00D7673F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lastRenderedPageBreak/>
              <w:t xml:space="preserve">подпункт 3.4 Требований к информационно-телекоммуникационной сети «Интернет» и </w:t>
            </w:r>
            <w:r w:rsidRPr="00245BC7">
              <w:rPr>
                <w:rFonts w:ascii="Times New Roman" w:eastAsia="Calibri" w:hAnsi="Times New Roman" w:cs="Times New Roman"/>
              </w:rPr>
              <w:lastRenderedPageBreak/>
              <w:t>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На главной странице подраздела «Образовательные стандарты и требования» специального раздела «Сведения об образовательной организации» официального сайта, отсутствует информация о применяемых федеральных государственных образовательных стандартов, их копий или гиперссылки на действующие редакции соответствующих документов:</w:t>
            </w:r>
            <w:proofErr w:type="gramEnd"/>
          </w:p>
          <w:p w:rsidR="000C5B68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подпункт 3.5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245BC7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не размещены:</w:t>
            </w:r>
          </w:p>
          <w:p w:rsidR="00072DCD" w:rsidRPr="00245BC7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учебный план на 2023-2024 учебный год с приложением его в виде электронного документа на все уровни общего образования;</w:t>
            </w:r>
          </w:p>
          <w:p w:rsidR="000C5B68" w:rsidRPr="00245BC7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рабочая программа воспитания и календарный план воспитательной работы на 2023-2024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072DCD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F67A3E" w:rsidP="00F67A3E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Образовательные программы по уровням образования, размещенные в подразделе «Образование» специального раздела «Сведения об образовательной организации» официального сайта не содержат календарный учебный график на уровень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E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пункт 32.3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      </w:r>
          </w:p>
          <w:p w:rsidR="00F67A3E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 xml:space="preserve">пункт 33.3 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245BC7">
              <w:rPr>
                <w:rFonts w:ascii="Times New Roman" w:eastAsia="Calibri" w:hAnsi="Times New Roman" w:cs="Times New Roman"/>
              </w:rPr>
              <w:lastRenderedPageBreak/>
              <w:t>Российской Федерации от 31.05.2021 № 287</w:t>
            </w:r>
          </w:p>
          <w:p w:rsidR="00F67A3E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9027FA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пункт 14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D7673F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На официальном сайте в сети Интернет в разделе «Сведения об образовательной организации» в подразделе «Образование» не размещен календарный план воспитательной работы на уровни начального общего, основного общего и среднего общего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D7673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45BC7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45BC7" w:rsidRDefault="009C1273" w:rsidP="009C1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На официальном сайте в сети Интернет по адресу: в подразделе «Образование» раздела «Сведения об образовательной организации»  размещенные основные образовательные программы начального общего, основного общего образования не подписаны  электронной подписью в соответствии с Федеральным законом от 06.04.2011 № 63-ФЗ "Об электронной подписи"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45BC7" w:rsidRDefault="00E81396" w:rsidP="009D25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C1273" w:rsidRPr="00245BC7">
              <w:rPr>
                <w:rFonts w:ascii="Times New Roman" w:hAnsi="Times New Roman" w:cs="Times New Roman"/>
                <w:color w:val="000000" w:themeColor="text1"/>
              </w:rPr>
              <w:t>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6E1474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  <w:p w:rsidR="006E1474" w:rsidRPr="00245BC7" w:rsidRDefault="006E1474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 xml:space="preserve">На официальном сайте  образовательной организации в подразделе «Образование»  размещены учебные планы на 2023-2024 </w:t>
            </w:r>
            <w:proofErr w:type="spellStart"/>
            <w:r w:rsidRPr="00245BC7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245BC7">
              <w:rPr>
                <w:rFonts w:ascii="Times New Roman" w:eastAsia="Calibri" w:hAnsi="Times New Roman" w:cs="Times New Roman"/>
              </w:rPr>
              <w:t>. начального общего образования, основного общего образования в которых  не определены формы промежуточной аттестации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9D25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часть 1 статьи 58 Федерального закона от 29.12.2012 № 273-ФЗ «Об образовании в Российской Федерации»</w:t>
            </w:r>
          </w:p>
        </w:tc>
      </w:tr>
      <w:tr w:rsidR="006E1474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</w:p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</w:p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lastRenderedPageBreak/>
              <w:t>Локальный акт о формах, периодичности, порядке текущего контроля</w:t>
            </w:r>
          </w:p>
          <w:p w:rsidR="006E1474" w:rsidRPr="00245BC7" w:rsidRDefault="006E1474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 xml:space="preserve">успеваемости и промежуточной аттестации учащихся не отражает комплексный подход внутренней и внешней оценки достижения планируемых </w:t>
            </w:r>
            <w:r w:rsidRPr="00245BC7">
              <w:rPr>
                <w:rFonts w:ascii="Times New Roman" w:eastAsia="Calibri" w:hAnsi="Times New Roman" w:cs="Times New Roman"/>
              </w:rPr>
              <w:lastRenderedPageBreak/>
              <w:t>результатов освоения программы начального общего, основного общего, среднего общего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часть  6.1 статьи 12, пункт 13 части 3 статьи 28, часть 1 статьи 58 Федерального закона от 29.12.2012 № 273-ФЗ «Об образовании в </w:t>
            </w:r>
            <w:r w:rsidRPr="00245BC7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Российской Федерации»;</w:t>
            </w:r>
          </w:p>
          <w:p w:rsidR="006E1474" w:rsidRPr="00245BC7" w:rsidRDefault="006E1474" w:rsidP="006E1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 xml:space="preserve">пункт 30.3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</w:t>
            </w:r>
          </w:p>
          <w:p w:rsidR="006E1474" w:rsidRPr="00245BC7" w:rsidRDefault="006E1474" w:rsidP="006E1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№ 286</w:t>
            </w:r>
          </w:p>
        </w:tc>
      </w:tr>
      <w:tr w:rsidR="001D7F3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1D7F3E" w:rsidP="007502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Сведения о признаке нарушений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1D7F3E" w:rsidP="0075027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в сети Интернет в разделе «Сведения об образовательной организации» в подразделе «Стипендии и меры поддержки обучающихся» не</w:t>
            </w:r>
            <w:r w:rsidRPr="00245B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размещена информация об организации питания обучающихся 5-11 классов, являющихся членами семей, участников специальной военной операции, в первую смену - бесплатным горячим завтраком, во вторую смену - бесплатным горячим обедом </w:t>
            </w:r>
          </w:p>
          <w:p w:rsidR="001D7F3E" w:rsidRPr="00245BC7" w:rsidRDefault="001D7F3E" w:rsidP="0075027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1D7F3E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5BC7">
              <w:rPr>
                <w:rFonts w:ascii="Times New Roman" w:eastAsia="Times New Roman" w:hAnsi="Times New Roman" w:cs="Times New Roman"/>
              </w:rPr>
              <w:t>пункт 2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  <w:p w:rsidR="001D7F3E" w:rsidRPr="00245BC7" w:rsidRDefault="001D7F3E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7F3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45BC7" w:rsidRDefault="00297C70" w:rsidP="00297C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Сведения о нарушении обязательного требования</w:t>
            </w:r>
          </w:p>
          <w:p w:rsidR="001D7F3E" w:rsidRPr="00245BC7" w:rsidRDefault="001D7F3E" w:rsidP="0075027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Образовательной организацией на официальном сайте в сети Интернет в разделе «Сведения об образовательной организации» в подразделе «Образование» не размещены:  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а) аннотации к рабочим программам по учебным предметам «Русский язык», «Основы религиозных культур и светской этики», а также  рабочие программы   образовательной программы начального общего образования по учебным предметам «Иностранный язык»(2-4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«Русский язык»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«Литературное чтение»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«Окружающий мир»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«Технология»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.);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б) аннотации к рабочим программам по учебным предметам ««Русский язык» «Физика», «Химия», «Основы духовно-нравственной культуры народов России», «Основы безопасности жизнедеятельности», а также  рабочие программы   образовательной программы основного общего образования по учебным предметам «История», «Биология», «Основы духовно-нравственной культуры народов России», </w:t>
            </w:r>
            <w:r w:rsidRPr="00245B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«Изобразительное искусство»; по предмету части, формируемой участниками образовательных отношений -</w:t>
            </w:r>
            <w:r w:rsidR="00245B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«Финансовая грамотность» (5-6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proofErr w:type="gramEnd"/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в) аннотации к рабочим программам по учебным предметам по учебным предметам «История», «Обществознание», «Физика», «Химия», «Биология», «Информатика», а также  рабочие программы   образовательной программы среднего общего образования по учебным предметам «История», «География», «Биология», а также элективного курса (11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.).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г) не размещены аннотации и рабочие программы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по курсам внеурочной деятельности (в форме электронного документа) для 1-11 классов  и аннотации к ним в соответствии с планом внеурочной деятельности</w:t>
            </w:r>
          </w:p>
          <w:p w:rsidR="001D7F3E" w:rsidRPr="00245BC7" w:rsidRDefault="001D7F3E" w:rsidP="0075027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297C70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5BC7">
              <w:rPr>
                <w:rFonts w:ascii="Times New Roman" w:eastAsia="Times New Roman" w:hAnsi="Times New Roman" w:cs="Times New Roman"/>
              </w:rPr>
              <w:lastRenderedPageBreak/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297C70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97C70" w:rsidRDefault="00297C70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  <w:p w:rsidR="00297C70" w:rsidRPr="00297C70" w:rsidRDefault="00297C70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97C70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организацией </w:t>
            </w: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в сети Интернет в разделе «Сведения об образовательной организации» в подразделе «Образование» размещен учебный план среднего общего образования на 2023/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учебный год</w:t>
            </w: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не учитывает требования, установленные обновленными федеральными стандартами, а именно:</w:t>
            </w:r>
          </w:p>
          <w:p w:rsidR="00297C70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предметной области в учебном плане для 10 классов «Физическая культура, экология и основы безопасности жизнедеятельности», указано как «Физическая культура и основы безопасности жизнедеятельности»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97C70" w:rsidRDefault="00297C70" w:rsidP="00750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14, 18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</w:t>
            </w:r>
          </w:p>
        </w:tc>
      </w:tr>
      <w:tr w:rsidR="003A227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3A227E" w:rsidRDefault="003A227E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  <w:p w:rsidR="003A227E" w:rsidRPr="00297C70" w:rsidRDefault="003A227E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Default="003A227E" w:rsidP="003A22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проведения наблюдения за соблюдением обязательных требований в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установлено отсутствие доступа к официальному сайту в информационно-телекоммуникационной сети «Интернет»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297C70" w:rsidRDefault="003A227E" w:rsidP="00750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29 Федерального закона от 29.12.2012 № 273-ФЗ «Об образовании в Российской Федерации»</w:t>
            </w:r>
          </w:p>
        </w:tc>
      </w:tr>
      <w:tr w:rsidR="003A227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3A227E" w:rsidRDefault="00853C60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 </w:t>
            </w:r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в сети Интернет в разделе «Сведения об образовательной организации» в подразделе «Образование» размещена основная образовательная программа</w:t>
            </w:r>
          </w:p>
          <w:p w:rsidR="00853C60" w:rsidRPr="00853C60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основного общего образования, в </w:t>
            </w:r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Система оценки достижения планируемых результатов освоения программы основного общего образования с учетом пункта 18.2 федеральной образовательной программы основного общего образования, утвержденной Приказом Министерства просвещения  Российской Федерации  от 18.05.2023 № 370 не отражает</w:t>
            </w:r>
            <w:proofErr w:type="gramEnd"/>
          </w:p>
          <w:p w:rsidR="003A227E" w:rsidRPr="003A227E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внешнюю оценку, а именно мониторинговые исследования муниципального, регионального и федерального уровней, что не обеспечивает комплексный подход к оценке результатов освоения программы основного общего образования и получения объективной информации о качестве подготовки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853C60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6.1 статьи 12 Федерального закона от 29.12.2012 № 273-ФЗ «Об образовании в Российской Федерации»;</w:t>
            </w:r>
          </w:p>
          <w:p w:rsidR="003A227E" w:rsidRPr="003A227E" w:rsidRDefault="00853C60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31.3 </w:t>
            </w:r>
            <w:r w:rsidRPr="00853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      </w:r>
          </w:p>
        </w:tc>
      </w:tr>
      <w:tr w:rsidR="00853C60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B2184B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4B" w:rsidRPr="00B2184B" w:rsidRDefault="00B2184B" w:rsidP="00B2184B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</w:t>
            </w: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 адресу в разделе «Сведения об образовательной организации» в подразделе «Образование» в календарном плане воспитательной работы   основной образовательной программы начального общего образования   и основной образовательной программы основного общего образования   отсутствуют мероприятия, предусмотренные пунктом 174.4 федеральной образовательной программы начального общего образования, утвержденной приказом  </w:t>
            </w:r>
            <w:proofErr w:type="spellStart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 и пунктом 170.3 федеральной образовательной</w:t>
            </w:r>
            <w:proofErr w:type="gramEnd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основного общего образования, утвержденной приказом  </w:t>
            </w:r>
            <w:proofErr w:type="spellStart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370:</w:t>
            </w:r>
          </w:p>
          <w:p w:rsidR="00B2184B" w:rsidRDefault="00B2184B" w:rsidP="00B2184B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  <w:r w:rsid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декабря: День </w:t>
            </w:r>
            <w:hyperlink r:id="rId7" w:history="1">
              <w:r w:rsidRPr="005C0C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февраля: Международный день </w:t>
            </w: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родного языка;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июня: День памяти и скорби;</w:t>
            </w:r>
          </w:p>
          <w:p w:rsidR="005C0CED" w:rsidRPr="00B2184B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июня: День молодежи</w:t>
            </w:r>
          </w:p>
          <w:p w:rsidR="00853C60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B2184B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2184B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6.1 статьи 12 Федерального закона от 29.12.2012 № 273-ФЗ «Об образовании в Российской Федерации»</w:t>
            </w:r>
          </w:p>
        </w:tc>
      </w:tr>
      <w:tr w:rsidR="00F2568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B2184B" w:rsidRDefault="00F25686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B2184B" w:rsidRDefault="00F25686" w:rsidP="00F2568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организация </w:t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адресу в разделе «Сведения об образовательной организации» в подразделе «Образование»  образовательная программа начального общего образования не содержит учебный план начального общего образования, определяющий общий объем аудиторной работы обучающихся за четыре учебных года (не менее 2954 академических часов и более 3345 академических часов) и 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содержит учебный</w:t>
            </w:r>
            <w:proofErr w:type="gramEnd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основного общего образования, определяющий общий объем аудиторной работы обучающихся за пять учебных лет (не менее 5058 академических часов и более 5848 академических часов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 https://sh104-zheleznogorsk-r04.gosweb.gosuslugi.ru/ /</w:t>
            </w:r>
            <w:proofErr w:type="spellStart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ofitsialno</w:t>
            </w:r>
            <w:proofErr w:type="spellEnd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obrazovanie-programmy</w:t>
            </w:r>
            <w:proofErr w:type="spellEnd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</w:t>
            </w:r>
          </w:p>
          <w:p w:rsidR="00F25686" w:rsidRP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пункт 32.1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      </w:r>
          </w:p>
          <w:p w:rsidR="00F25686" w:rsidRP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</w:t>
            </w: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31.05.2021 № 287</w:t>
            </w:r>
          </w:p>
        </w:tc>
      </w:tr>
      <w:tr w:rsidR="005C0CE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F25686" w:rsidRDefault="005C0CED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F25686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Федеральная рабочая программа по учебному предмету «Литературное чтение», являющаяся структурным подразделением основной образовательной программы начального общего образования размещенной на официальном сайте в сети Интернет в подразделе «Образование» раздела «Сведения об образовательной организации», не включает раздел «Распределенное по классам содержание обучения сопровождается следующим </w:t>
            </w:r>
            <w:proofErr w:type="spell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деятельностным</w:t>
            </w:r>
            <w:proofErr w:type="spell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наполнением образовательного процесса»,  предусмотренный пунктом 99.10 Федеральной рабочей программы по учебному предмету «Литературное чтение» федеральной образовательной программы</w:t>
            </w:r>
            <w:proofErr w:type="gram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образования, утвержденной приказом  </w:t>
            </w:r>
            <w:proofErr w:type="spell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4C2C19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C0CED" w:rsidRPr="005C0CED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6.3 статьи 12 Федерального закона от 29.12.2012 № 273-ФЗ «Об образовании в Российской Федерации»</w:t>
            </w:r>
          </w:p>
        </w:tc>
      </w:tr>
      <w:tr w:rsidR="005C0CE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5C0CED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план начального общего образования на 2023-2024 учебный год, размещенный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сети Интернет в подразделе «Образование» раздела «Сведения об образовательной организации», и учебный план основной образовательной программы начального общего образования размещенной на официальном сайте в сети Интернет в подразделе «Образование» раздела «Сведения об образовательной организации», не </w:t>
            </w:r>
            <w:proofErr w:type="gram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</w:t>
            </w:r>
            <w:proofErr w:type="gram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в части количества часов на изучение предмета Русский язык. 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Так, учебным планом начального общего образования на 2023-2024 учебный год предусмотрено 4 часа на изучение Русского языка в 4 классах, учебным планом основной образовательной программы начального общего образования – 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5C0CED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C0CED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6.1 статьи 12 Федерального закона от 29.12.2012 № 273-ФЗ «Об образовании в Российской Федерации»</w:t>
            </w:r>
          </w:p>
        </w:tc>
      </w:tr>
      <w:tr w:rsidR="005C0CE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312A16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312A16" w:rsidP="00312A1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план начального общего образования на 2023-2024 учебный год, размещенный на официальном сайте в сети Интернет в подразделе </w:t>
            </w:r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«Образование» раздела «Сведения об образовательной организации», в части количества часов на изучение Русского языка (4 часа) не соответствует Федеральному учебному плану начального общего образования федеральной образовательной программы начального общего образования, утвержденной приказом  </w:t>
            </w:r>
            <w:proofErr w:type="spellStart"/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372, предусматривающему 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Default="00312A1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31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асть 6.1 статьи 12 Федерального закона от 29.12.2012 № 273-ФЗ «Об образовании </w:t>
            </w:r>
            <w:r w:rsidRPr="00312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Российской Федерации»</w:t>
            </w:r>
          </w:p>
        </w:tc>
      </w:tr>
      <w:tr w:rsidR="00312A1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6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6" w:rsidRPr="00312A16" w:rsidRDefault="004C2C19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признаках нарушения обязательных требований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19" w:rsidRPr="004C2C19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в сети Интернет в разделе «Сведения об образовательной организации» в подразделе «Документы» размещено «Положение о формах, периодичности, порядке текущего контроля успеваемос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 промежуточной аттестации»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котором не 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2C19" w:rsidRPr="004C2C19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конкретизирует, какие 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образовательные достижения могут быть зачтены в качестве результатов промежуточной аттестации по предметам учебного плана. </w:t>
            </w:r>
          </w:p>
          <w:p w:rsidR="004C2C19" w:rsidRPr="004C2C19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локальном акте отсутствует описание организации и содержания</w:t>
            </w:r>
          </w:p>
          <w:p w:rsidR="00312A16" w:rsidRPr="00312A16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обучающихся в рамках урочной и внеурочной деятельности.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19" w:rsidRPr="004C2C19" w:rsidRDefault="004C2C19" w:rsidP="004C2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 6.1 статьи 12, пункт 13 части 3 статьи 28, часть 1 статьи 58 Федерального закона от 29.12.2012 № 273-ФЗ «Об образовании в Российской Федерации»;</w:t>
            </w:r>
          </w:p>
          <w:p w:rsidR="00312A16" w:rsidRDefault="004C2C19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30.3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</w:t>
            </w:r>
          </w:p>
        </w:tc>
      </w:tr>
      <w:tr w:rsidR="00B51821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4C2C19" w:rsidRDefault="00B51821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в разделе «Сведения об образовательной организации» в подразделе «Образование» в Основной образовательной программе среднего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«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достижения 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программы»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 неактуальная информация об основных направлениях оценочной деятельности, которая в соответствии с пунктами 18.4, 18.5 Федеральной образовательной программы среднего общего образования, утвержденной приказом Министерства просвещения Российской Федерации от 18.05.2023</w:t>
            </w:r>
            <w:proofErr w:type="gramEnd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371 должна включать процедуры внутренней и внешней оценки: 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оценка: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стартовую диагностику;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текущую и тематическую оценку;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итоговую оценку;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промежуточную аттестацию;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наблюдение;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мониторинг образовательных достижений обучающихся.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оценка: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независимую оценку качества подготовки обучающихся</w:t>
            </w:r>
            <w:proofErr w:type="gramStart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итоговую аттестацию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разделе «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оценки достижения планируемых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программы»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актуальной информации не позволяет обеспечить: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закрепление основных направлений и целей оценочной деятельности, ориентированной на управление качеством образования, описывание объекта и содержание оценки, критериев,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возможность комплексного подхода к оценке результатов освоения программы начального общего образования, позволяющего осуществлять оценку предметных и </w:t>
            </w:r>
            <w:proofErr w:type="spellStart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результатов; 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обеспечивать оценку динамики индивидуальных достижений обучающихся в процессе освоения основной общеобразовательной программы;</w:t>
            </w:r>
          </w:p>
          <w:p w:rsidR="00B51821" w:rsidRPr="004C2C19" w:rsidRDefault="00B51821" w:rsidP="00245BC7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результатов итоговой оценки выпускников, характеризующих уровень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педагогическими работниками.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B51821" w:rsidRDefault="00B51821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6.4 статьи 12 Федерального закона от 29.12.2012 № 273-ФЗ «Об образовании в Российской Федерации»;</w:t>
            </w:r>
          </w:p>
          <w:p w:rsidR="00B51821" w:rsidRPr="004C2C19" w:rsidRDefault="00B51821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18.1.3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 17.05.2012 № 413.</w:t>
            </w:r>
          </w:p>
        </w:tc>
      </w:tr>
    </w:tbl>
    <w:p w:rsidR="004A424B" w:rsidRPr="00A16E39" w:rsidRDefault="004A424B" w:rsidP="002B77A8">
      <w:pPr>
        <w:rPr>
          <w:rFonts w:ascii="Times New Roman" w:hAnsi="Times New Roman" w:cs="Times New Roman"/>
        </w:rPr>
      </w:pPr>
    </w:p>
    <w:sectPr w:rsidR="004A424B" w:rsidRPr="00A1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6A7"/>
    <w:multiLevelType w:val="hybridMultilevel"/>
    <w:tmpl w:val="C2525D3C"/>
    <w:lvl w:ilvl="0" w:tplc="FA729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06334"/>
    <w:rsid w:val="00050F14"/>
    <w:rsid w:val="00072DCD"/>
    <w:rsid w:val="000A697A"/>
    <w:rsid w:val="000B466D"/>
    <w:rsid w:val="000C5B68"/>
    <w:rsid w:val="000D0FE3"/>
    <w:rsid w:val="000D3D53"/>
    <w:rsid w:val="000F027A"/>
    <w:rsid w:val="0012058D"/>
    <w:rsid w:val="001415F6"/>
    <w:rsid w:val="00151DF4"/>
    <w:rsid w:val="0017680F"/>
    <w:rsid w:val="0018470F"/>
    <w:rsid w:val="00184779"/>
    <w:rsid w:val="001D7F3E"/>
    <w:rsid w:val="002178DA"/>
    <w:rsid w:val="002333CC"/>
    <w:rsid w:val="0023345B"/>
    <w:rsid w:val="00245BC7"/>
    <w:rsid w:val="0025346D"/>
    <w:rsid w:val="00260007"/>
    <w:rsid w:val="00276AF1"/>
    <w:rsid w:val="00294553"/>
    <w:rsid w:val="00295519"/>
    <w:rsid w:val="00296A8D"/>
    <w:rsid w:val="00297C70"/>
    <w:rsid w:val="002B1681"/>
    <w:rsid w:val="002B3703"/>
    <w:rsid w:val="002B77A8"/>
    <w:rsid w:val="002C1937"/>
    <w:rsid w:val="002C21F2"/>
    <w:rsid w:val="002C2D2D"/>
    <w:rsid w:val="002E4633"/>
    <w:rsid w:val="002F568D"/>
    <w:rsid w:val="002F773D"/>
    <w:rsid w:val="00312A16"/>
    <w:rsid w:val="0032435D"/>
    <w:rsid w:val="003340E1"/>
    <w:rsid w:val="003351C3"/>
    <w:rsid w:val="00345DFE"/>
    <w:rsid w:val="003470DC"/>
    <w:rsid w:val="0035502D"/>
    <w:rsid w:val="00380961"/>
    <w:rsid w:val="003A0A95"/>
    <w:rsid w:val="003A227E"/>
    <w:rsid w:val="003A35E2"/>
    <w:rsid w:val="003B0013"/>
    <w:rsid w:val="003B094E"/>
    <w:rsid w:val="003D5904"/>
    <w:rsid w:val="003D66D7"/>
    <w:rsid w:val="004047A9"/>
    <w:rsid w:val="00406B01"/>
    <w:rsid w:val="00433519"/>
    <w:rsid w:val="00436D5E"/>
    <w:rsid w:val="00440524"/>
    <w:rsid w:val="004674EB"/>
    <w:rsid w:val="00475BCE"/>
    <w:rsid w:val="00480A55"/>
    <w:rsid w:val="004862CC"/>
    <w:rsid w:val="004966D6"/>
    <w:rsid w:val="00496746"/>
    <w:rsid w:val="004A424B"/>
    <w:rsid w:val="004C2C19"/>
    <w:rsid w:val="004F4746"/>
    <w:rsid w:val="00501332"/>
    <w:rsid w:val="00510A22"/>
    <w:rsid w:val="00511E1D"/>
    <w:rsid w:val="0051350B"/>
    <w:rsid w:val="0052655D"/>
    <w:rsid w:val="00532038"/>
    <w:rsid w:val="00532C8B"/>
    <w:rsid w:val="00537FE3"/>
    <w:rsid w:val="00544A01"/>
    <w:rsid w:val="00545785"/>
    <w:rsid w:val="005571C2"/>
    <w:rsid w:val="0057225F"/>
    <w:rsid w:val="00586611"/>
    <w:rsid w:val="00590FE9"/>
    <w:rsid w:val="005C0CED"/>
    <w:rsid w:val="005D1E27"/>
    <w:rsid w:val="005D7931"/>
    <w:rsid w:val="005E2469"/>
    <w:rsid w:val="0061031F"/>
    <w:rsid w:val="006177FA"/>
    <w:rsid w:val="006321B1"/>
    <w:rsid w:val="0063293C"/>
    <w:rsid w:val="00647AAE"/>
    <w:rsid w:val="00667538"/>
    <w:rsid w:val="006877E4"/>
    <w:rsid w:val="00692222"/>
    <w:rsid w:val="00696991"/>
    <w:rsid w:val="00696DDA"/>
    <w:rsid w:val="006A7004"/>
    <w:rsid w:val="006A7252"/>
    <w:rsid w:val="006C21D5"/>
    <w:rsid w:val="006C4286"/>
    <w:rsid w:val="006D4D2F"/>
    <w:rsid w:val="006E1474"/>
    <w:rsid w:val="006E2D9F"/>
    <w:rsid w:val="006E4D1A"/>
    <w:rsid w:val="006F00BE"/>
    <w:rsid w:val="007333D4"/>
    <w:rsid w:val="00741A6E"/>
    <w:rsid w:val="00750DDA"/>
    <w:rsid w:val="00754F19"/>
    <w:rsid w:val="007648F9"/>
    <w:rsid w:val="007750A0"/>
    <w:rsid w:val="00782CCA"/>
    <w:rsid w:val="00792BF9"/>
    <w:rsid w:val="007A29C4"/>
    <w:rsid w:val="007C0006"/>
    <w:rsid w:val="007C216D"/>
    <w:rsid w:val="007D7F7B"/>
    <w:rsid w:val="007E038D"/>
    <w:rsid w:val="007F5361"/>
    <w:rsid w:val="00803B07"/>
    <w:rsid w:val="008100D8"/>
    <w:rsid w:val="00815FDA"/>
    <w:rsid w:val="00827236"/>
    <w:rsid w:val="00852306"/>
    <w:rsid w:val="00853C60"/>
    <w:rsid w:val="008603D0"/>
    <w:rsid w:val="008722C0"/>
    <w:rsid w:val="00882898"/>
    <w:rsid w:val="008A4A59"/>
    <w:rsid w:val="008C2CD2"/>
    <w:rsid w:val="008C58B8"/>
    <w:rsid w:val="008C6CD0"/>
    <w:rsid w:val="008C7416"/>
    <w:rsid w:val="008D056A"/>
    <w:rsid w:val="008E0329"/>
    <w:rsid w:val="008E35E1"/>
    <w:rsid w:val="008E5112"/>
    <w:rsid w:val="008E5B73"/>
    <w:rsid w:val="008E68A5"/>
    <w:rsid w:val="009027FA"/>
    <w:rsid w:val="00921024"/>
    <w:rsid w:val="00960D23"/>
    <w:rsid w:val="00983F5E"/>
    <w:rsid w:val="00985F2A"/>
    <w:rsid w:val="009864C5"/>
    <w:rsid w:val="009905E7"/>
    <w:rsid w:val="009B3E3D"/>
    <w:rsid w:val="009C1273"/>
    <w:rsid w:val="009C339B"/>
    <w:rsid w:val="009C4C78"/>
    <w:rsid w:val="009D07D6"/>
    <w:rsid w:val="009D3CF6"/>
    <w:rsid w:val="009D686C"/>
    <w:rsid w:val="009F11AD"/>
    <w:rsid w:val="009F5D4E"/>
    <w:rsid w:val="00A1399B"/>
    <w:rsid w:val="00A16E39"/>
    <w:rsid w:val="00A217AB"/>
    <w:rsid w:val="00A263E9"/>
    <w:rsid w:val="00A57AB3"/>
    <w:rsid w:val="00A86234"/>
    <w:rsid w:val="00A939A3"/>
    <w:rsid w:val="00AB7475"/>
    <w:rsid w:val="00AD1C11"/>
    <w:rsid w:val="00AD1C3A"/>
    <w:rsid w:val="00AD5011"/>
    <w:rsid w:val="00AF3524"/>
    <w:rsid w:val="00AF560F"/>
    <w:rsid w:val="00B0418C"/>
    <w:rsid w:val="00B163B7"/>
    <w:rsid w:val="00B17A01"/>
    <w:rsid w:val="00B2184B"/>
    <w:rsid w:val="00B36760"/>
    <w:rsid w:val="00B414D4"/>
    <w:rsid w:val="00B51821"/>
    <w:rsid w:val="00B70756"/>
    <w:rsid w:val="00B739AD"/>
    <w:rsid w:val="00B752B6"/>
    <w:rsid w:val="00B800C3"/>
    <w:rsid w:val="00B842A7"/>
    <w:rsid w:val="00B866C7"/>
    <w:rsid w:val="00B936F6"/>
    <w:rsid w:val="00B96CC9"/>
    <w:rsid w:val="00BA6996"/>
    <w:rsid w:val="00BB47BC"/>
    <w:rsid w:val="00BB4DEF"/>
    <w:rsid w:val="00BC56DD"/>
    <w:rsid w:val="00BE00FD"/>
    <w:rsid w:val="00BE354A"/>
    <w:rsid w:val="00BF21A2"/>
    <w:rsid w:val="00C23F1D"/>
    <w:rsid w:val="00C450C1"/>
    <w:rsid w:val="00C55B7C"/>
    <w:rsid w:val="00C56CC3"/>
    <w:rsid w:val="00C57648"/>
    <w:rsid w:val="00C62A66"/>
    <w:rsid w:val="00C63A8F"/>
    <w:rsid w:val="00C63FA0"/>
    <w:rsid w:val="00C66422"/>
    <w:rsid w:val="00CD1704"/>
    <w:rsid w:val="00CD5F60"/>
    <w:rsid w:val="00CF0A33"/>
    <w:rsid w:val="00D101AF"/>
    <w:rsid w:val="00D170AD"/>
    <w:rsid w:val="00D21C19"/>
    <w:rsid w:val="00D26E5A"/>
    <w:rsid w:val="00D32754"/>
    <w:rsid w:val="00D354E6"/>
    <w:rsid w:val="00D359B4"/>
    <w:rsid w:val="00D40DD1"/>
    <w:rsid w:val="00D43F84"/>
    <w:rsid w:val="00D47E36"/>
    <w:rsid w:val="00D60193"/>
    <w:rsid w:val="00D6361B"/>
    <w:rsid w:val="00D72DE9"/>
    <w:rsid w:val="00D7673F"/>
    <w:rsid w:val="00D864AA"/>
    <w:rsid w:val="00D87E24"/>
    <w:rsid w:val="00D94EF7"/>
    <w:rsid w:val="00DA00BE"/>
    <w:rsid w:val="00DA3409"/>
    <w:rsid w:val="00DA5FF4"/>
    <w:rsid w:val="00DD3DB5"/>
    <w:rsid w:val="00DE3B6E"/>
    <w:rsid w:val="00E1354B"/>
    <w:rsid w:val="00E1455D"/>
    <w:rsid w:val="00E215E3"/>
    <w:rsid w:val="00E31DFC"/>
    <w:rsid w:val="00E4681B"/>
    <w:rsid w:val="00E63870"/>
    <w:rsid w:val="00E81396"/>
    <w:rsid w:val="00E96BCA"/>
    <w:rsid w:val="00ED715D"/>
    <w:rsid w:val="00EE01C2"/>
    <w:rsid w:val="00F116E5"/>
    <w:rsid w:val="00F25686"/>
    <w:rsid w:val="00F31CAD"/>
    <w:rsid w:val="00F43363"/>
    <w:rsid w:val="00F60D67"/>
    <w:rsid w:val="00F67A3E"/>
    <w:rsid w:val="00F818B0"/>
    <w:rsid w:val="00F93BA6"/>
    <w:rsid w:val="00FA221A"/>
    <w:rsid w:val="00FA267A"/>
    <w:rsid w:val="00FA368A"/>
    <w:rsid w:val="00FA44C0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0992-4E85-46E7-9D2C-76E6A9E5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Ивановна</dc:creator>
  <cp:lastModifiedBy>Масюлис Константин Луцисович</cp:lastModifiedBy>
  <cp:revision>75</cp:revision>
  <dcterms:created xsi:type="dcterms:W3CDTF">2023-10-02T03:21:00Z</dcterms:created>
  <dcterms:modified xsi:type="dcterms:W3CDTF">2024-03-14T05:47:00Z</dcterms:modified>
</cp:coreProperties>
</file>