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E6" w:rsidRDefault="000618E6">
      <w:pPr>
        <w:pStyle w:val="ConsPlusNormal"/>
        <w:jc w:val="center"/>
        <w:outlineLvl w:val="0"/>
      </w:pPr>
      <w:bookmarkStart w:id="0" w:name="_GoBack"/>
      <w:bookmarkEnd w:id="0"/>
    </w:p>
    <w:p w:rsidR="000618E6" w:rsidRDefault="000618E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618E6" w:rsidRDefault="000618E6">
      <w:pPr>
        <w:pStyle w:val="ConsPlusTitle"/>
        <w:jc w:val="center"/>
      </w:pPr>
    </w:p>
    <w:p w:rsidR="000618E6" w:rsidRDefault="000618E6">
      <w:pPr>
        <w:pStyle w:val="ConsPlusTitle"/>
        <w:jc w:val="center"/>
      </w:pPr>
      <w:r>
        <w:t>ПОСТАНОВЛЕНИЕ</w:t>
      </w:r>
    </w:p>
    <w:p w:rsidR="000618E6" w:rsidRDefault="000618E6">
      <w:pPr>
        <w:pStyle w:val="ConsPlusTitle"/>
        <w:jc w:val="center"/>
      </w:pPr>
      <w:r>
        <w:t>от 20 августа 2013 г. N 719</w:t>
      </w:r>
    </w:p>
    <w:p w:rsidR="000618E6" w:rsidRDefault="000618E6">
      <w:pPr>
        <w:pStyle w:val="ConsPlusTitle"/>
        <w:jc w:val="center"/>
      </w:pPr>
    </w:p>
    <w:p w:rsidR="000618E6" w:rsidRDefault="000618E6">
      <w:pPr>
        <w:pStyle w:val="ConsPlusTitle"/>
        <w:jc w:val="center"/>
      </w:pPr>
      <w:r>
        <w:t>О ГОСУДАРСТВЕННОЙ ИНФОРМАЦИОННОЙ СИСТЕМЕ</w:t>
      </w:r>
    </w:p>
    <w:p w:rsidR="000618E6" w:rsidRDefault="000618E6">
      <w:pPr>
        <w:pStyle w:val="ConsPlusTitle"/>
        <w:jc w:val="center"/>
      </w:pPr>
      <w:r>
        <w:t>ГОСУДАРСТВЕННОГО НАДЗОРА В СФЕРЕ ОБРАЗОВАНИЯ</w:t>
      </w:r>
    </w:p>
    <w:p w:rsidR="000618E6" w:rsidRDefault="000618E6">
      <w:pPr>
        <w:pStyle w:val="ConsPlusNormal"/>
        <w:jc w:val="center"/>
      </w:pPr>
    </w:p>
    <w:p w:rsidR="000618E6" w:rsidRDefault="000618E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1. Создать государственную информационную систему государственного надзора в сфере образования.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формирования и ведения государственной информационной системы государственного надзора в сфере образования.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Реализация полномочий, вытекающих из настоящего постановления,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ее работников, а также бюджетных ассигнований, предусмотренных указанной Федеральной службе в федеральном бюджете на руководство и управление в сфере установленных функций.</w:t>
      </w:r>
      <w:proofErr w:type="gramEnd"/>
    </w:p>
    <w:p w:rsidR="000618E6" w:rsidRDefault="000618E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сентября 2013 г.</w:t>
      </w:r>
    </w:p>
    <w:p w:rsidR="000618E6" w:rsidRDefault="000618E6">
      <w:pPr>
        <w:pStyle w:val="ConsPlusNormal"/>
        <w:ind w:firstLine="540"/>
        <w:jc w:val="both"/>
      </w:pPr>
    </w:p>
    <w:p w:rsidR="000618E6" w:rsidRDefault="000618E6">
      <w:pPr>
        <w:pStyle w:val="ConsPlusNormal"/>
        <w:jc w:val="right"/>
      </w:pPr>
      <w:r>
        <w:t>Председатель Правительства</w:t>
      </w:r>
    </w:p>
    <w:p w:rsidR="000618E6" w:rsidRDefault="000618E6">
      <w:pPr>
        <w:pStyle w:val="ConsPlusNormal"/>
        <w:jc w:val="right"/>
      </w:pPr>
      <w:r>
        <w:t>Российской Федерации</w:t>
      </w:r>
    </w:p>
    <w:p w:rsidR="000618E6" w:rsidRDefault="000618E6">
      <w:pPr>
        <w:pStyle w:val="ConsPlusNormal"/>
        <w:jc w:val="right"/>
      </w:pPr>
      <w:r>
        <w:t>Д.МЕДВЕДЕВ</w:t>
      </w:r>
    </w:p>
    <w:p w:rsidR="000618E6" w:rsidRDefault="000618E6">
      <w:pPr>
        <w:pStyle w:val="ConsPlusNormal"/>
        <w:jc w:val="right"/>
      </w:pPr>
    </w:p>
    <w:p w:rsidR="000618E6" w:rsidRDefault="000618E6">
      <w:pPr>
        <w:pStyle w:val="ConsPlusNormal"/>
        <w:jc w:val="right"/>
      </w:pPr>
    </w:p>
    <w:p w:rsidR="000618E6" w:rsidRDefault="000618E6">
      <w:pPr>
        <w:pStyle w:val="ConsPlusNormal"/>
        <w:jc w:val="right"/>
      </w:pPr>
    </w:p>
    <w:p w:rsidR="000618E6" w:rsidRDefault="000618E6">
      <w:pPr>
        <w:pStyle w:val="ConsPlusNormal"/>
        <w:jc w:val="right"/>
      </w:pPr>
    </w:p>
    <w:p w:rsidR="000618E6" w:rsidRDefault="000618E6">
      <w:pPr>
        <w:pStyle w:val="ConsPlusNormal"/>
        <w:jc w:val="right"/>
      </w:pPr>
    </w:p>
    <w:p w:rsidR="000618E6" w:rsidRDefault="000618E6">
      <w:pPr>
        <w:pStyle w:val="ConsPlusNormal"/>
        <w:jc w:val="right"/>
        <w:outlineLvl w:val="0"/>
      </w:pPr>
      <w:r>
        <w:t>Утверждены</w:t>
      </w:r>
    </w:p>
    <w:p w:rsidR="000618E6" w:rsidRDefault="000618E6">
      <w:pPr>
        <w:pStyle w:val="ConsPlusNormal"/>
        <w:jc w:val="right"/>
      </w:pPr>
      <w:r>
        <w:t>постановлением Правительства</w:t>
      </w:r>
    </w:p>
    <w:p w:rsidR="000618E6" w:rsidRDefault="000618E6">
      <w:pPr>
        <w:pStyle w:val="ConsPlusNormal"/>
        <w:jc w:val="right"/>
      </w:pPr>
      <w:r>
        <w:t>Российской Федерации</w:t>
      </w:r>
    </w:p>
    <w:p w:rsidR="000618E6" w:rsidRDefault="000618E6">
      <w:pPr>
        <w:pStyle w:val="ConsPlusNormal"/>
        <w:jc w:val="right"/>
      </w:pPr>
      <w:r>
        <w:t>от 20 августа 2013 г. N 719</w:t>
      </w:r>
    </w:p>
    <w:p w:rsidR="000618E6" w:rsidRDefault="000618E6">
      <w:pPr>
        <w:pStyle w:val="ConsPlusNormal"/>
        <w:jc w:val="right"/>
      </w:pPr>
    </w:p>
    <w:p w:rsidR="000618E6" w:rsidRDefault="000618E6">
      <w:pPr>
        <w:pStyle w:val="ConsPlusTitle"/>
        <w:jc w:val="center"/>
      </w:pPr>
      <w:bookmarkStart w:id="1" w:name="P28"/>
      <w:bookmarkEnd w:id="1"/>
      <w:r>
        <w:t>ПРАВИЛА</w:t>
      </w:r>
    </w:p>
    <w:p w:rsidR="000618E6" w:rsidRDefault="000618E6">
      <w:pPr>
        <w:pStyle w:val="ConsPlusTitle"/>
        <w:jc w:val="center"/>
      </w:pPr>
      <w:r>
        <w:t xml:space="preserve">ФОРМИРОВАНИЯ И ВЕДЕНИЯ </w:t>
      </w:r>
      <w:proofErr w:type="gramStart"/>
      <w:r>
        <w:t>ГОСУДАРСТВЕННОЙ</w:t>
      </w:r>
      <w:proofErr w:type="gramEnd"/>
      <w:r>
        <w:t xml:space="preserve"> ИНФОРМАЦИОННОЙ</w:t>
      </w:r>
    </w:p>
    <w:p w:rsidR="000618E6" w:rsidRDefault="000618E6">
      <w:pPr>
        <w:pStyle w:val="ConsPlusTitle"/>
        <w:jc w:val="center"/>
      </w:pPr>
      <w:r>
        <w:t>СИСТЕМЫ ГОСУДАРСТВЕННОГО НАДЗОРА В СФЕРЕ ОБРАЗОВАНИЯ</w:t>
      </w:r>
    </w:p>
    <w:p w:rsidR="000618E6" w:rsidRDefault="000618E6">
      <w:pPr>
        <w:pStyle w:val="ConsPlusNormal"/>
        <w:ind w:firstLine="540"/>
        <w:jc w:val="both"/>
      </w:pPr>
    </w:p>
    <w:p w:rsidR="000618E6" w:rsidRDefault="000618E6">
      <w:pPr>
        <w:pStyle w:val="ConsPlusNormal"/>
        <w:ind w:firstLine="540"/>
        <w:jc w:val="both"/>
      </w:pPr>
      <w:r>
        <w:t>1. Настоящие Правила определяют порядок формирования и ведения государственной информационной системы государственного надзора в сфере образования (далее - информационная система).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2. Формирование и ведение информационной системы осуществляется Федеральной службой по надзору в сфере образования и науки (далее - оператор информационной системы).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3. Обладателем информации, содержащейся в информационной системе, является Российская Федерация. От имени Российской Федерации правомочия обладателя информации, содержащейся в информационной системе, осуществляются оператором информационной системы.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2" w:name="P35"/>
      <w:bookmarkEnd w:id="2"/>
      <w:r>
        <w:lastRenderedPageBreak/>
        <w:t xml:space="preserve">4. </w:t>
      </w:r>
      <w:proofErr w:type="gramStart"/>
      <w:r>
        <w:t>Оператор информационной системы и органы государственной власти субъектов Российской Федерации, осуществляющие переданные Российской Федерацией полномочия по государственному контролю (надзору) в сфере образования (далее - уполномоченные органы субъектов Российской Федерации), вносят в информационную систему информацию, связанную с проведением государственного контроля (надзора) в сфере образования (далее - информация), в течение 15 дней со дня получения информации или ее изменения.</w:t>
      </w:r>
      <w:proofErr w:type="gramEnd"/>
    </w:p>
    <w:p w:rsidR="000618E6" w:rsidRDefault="000618E6">
      <w:pPr>
        <w:pStyle w:val="ConsPlusNormal"/>
        <w:spacing w:before="220"/>
        <w:ind w:firstLine="540"/>
        <w:jc w:val="both"/>
      </w:pPr>
      <w:r>
        <w:t xml:space="preserve">Вносимая в государственную информационную систему информация не должна содержать сведения, составляющие государственную или иную охраняемую </w:t>
      </w:r>
      <w:hyperlink r:id="rId6" w:history="1">
        <w:r>
          <w:rPr>
            <w:color w:val="0000FF"/>
          </w:rPr>
          <w:t>законом</w:t>
        </w:r>
      </w:hyperlink>
      <w:r>
        <w:t xml:space="preserve"> тайну.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Органы, указанные в </w:t>
      </w:r>
      <w:hyperlink w:anchor="P35" w:history="1">
        <w:r>
          <w:rPr>
            <w:color w:val="0000FF"/>
          </w:rPr>
          <w:t>пункте 4</w:t>
        </w:r>
      </w:hyperlink>
      <w:r>
        <w:t xml:space="preserve"> настоящих Правил, обеспечивают полноту, достоверность и актуальность вносимой ими в информационную систему информации, а также конфиденциальность и безопасность содержащихся в ней персональных данных, соблюдение требований </w:t>
      </w:r>
      <w:hyperlink r:id="rId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или иной охраняемой законом тайне.</w:t>
      </w:r>
      <w:proofErr w:type="gramEnd"/>
    </w:p>
    <w:p w:rsidR="000618E6" w:rsidRDefault="000618E6">
      <w:pPr>
        <w:pStyle w:val="ConsPlusNormal"/>
        <w:spacing w:before="220"/>
        <w:ind w:firstLine="540"/>
        <w:jc w:val="both"/>
      </w:pPr>
      <w:r>
        <w:t>6. Руководители органов по контролю (надзору) назначают лиц, имеющих право доступа к информации, в том числе лиц, ответственных за внесение информации в информационную систему.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Указанные лица допускаются к работе в информационной системе после их регистрации в информационной системе.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7. В целях формирования и ведения информационной системы оператор информационной системы осуществляет: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а) обеспечение технического функционирования информационной системы;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б) обеспечение безопасного хранения и использования информации, содержащейся в информационной системе;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в) методическое обеспечение деятельности уполномоченных органов субъектов Российской Федерации по внесению информации в информационную систему;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г) автоматизированную обработку информации, содержащейся в информационной системе;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д) обеспечение доступа в установленном порядке к информации, содержащейся в информационной системе;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е) обеспечение защиты информации, содержащейся в информационной системе, от уничтожения, модификации и блокирования доступа к ней, а также от иных неправомерных действий в отношении такой информации.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8. Формирование и ведение информационной системы, в том числе внесение в нее информации, обработка, хранение и использование содержащейся в ней информации, доступ к этой информац</w:t>
      </w:r>
      <w:proofErr w:type="gramStart"/>
      <w:r>
        <w:t>ии и ее</w:t>
      </w:r>
      <w:proofErr w:type="gramEnd"/>
      <w:r>
        <w:t xml:space="preserve"> защита осуществляются с соблюдением требований, установленных законодательством Российской Федерации в области информации, информационных технологий и защиты информации.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9. Формирование и ведение информационной системы, в том числе внесение в нее информации, обработка, хранение и использование информации, содержащейся в информационной системе, осуществляются с применением стандартизированных технических и программных средств, в том числе позволяющих осуществлять обработку информации на основе использования единых форматов и стандартных протоколов.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 xml:space="preserve">10. Внесение информации в информационную систему осуществляется в электронной форме </w:t>
      </w:r>
      <w:r>
        <w:lastRenderedPageBreak/>
        <w:t xml:space="preserve">с использованием усиленной квалифицированной электронной подписи, требования к которой определены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11. Срок хранения информации, внесенной в информационную систему, составляет 10 лет. После истечения срока хранения информация исключается из информационной системы оператором информационной системы.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3" w:name="P51"/>
      <w:bookmarkEnd w:id="3"/>
      <w:r>
        <w:t>12. Оператор информационной системы вносит следующую информацию, представляемую в текстовой форме, в части его деятельности: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а) в отношении органов государственной власти субъектов Российской Федерации, осуществляющих государственное управление в сфере образовании, полномочия по контролю (надзору) за деятельностью которых осуществляет оператор информационной системы: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наименование органа государственной власти субъекта Российской Федерации, осуществляющего государственное управление в сфере образования;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4" w:name="P54"/>
      <w:bookmarkEnd w:id="4"/>
      <w:r>
        <w:t>основной государственный регистрационный номер, идентификационный номер налогоплательщика, код причины постановки на учет в налоговом органе;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5" w:name="P55"/>
      <w:bookmarkEnd w:id="5"/>
      <w:r>
        <w:t>фамилия, имя, отчество (при наличии) и должность руководителя;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справочные телефоны, адрес электронной почты, адрес официального сайта в информационно-телекоммуникационной сети "Интернет" (далее - сеть "Интернет");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б) в отношении образовательных организаций и организаций, осуществляющих обучение, включая их филиалы (далее - организации), полномочия по государственному контролю (надзору) за деятельностью которых осуществляет оператор информационной системы: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наименование организации;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6" w:name="P60"/>
      <w:bookmarkEnd w:id="6"/>
      <w:r>
        <w:t>основной государственный регистрационный номер, идентификационный номер налогоплательщика, организационно-правовая форма, код причины постановки на учет в налоговом органе;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7" w:name="P61"/>
      <w:bookmarkEnd w:id="7"/>
      <w:r>
        <w:t>фамилия, имя, отчество (при наличии) и должность руководителя;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справочные телефоны, адрес электронной почты, адрес официального сайта в сети "Интернет";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в) в отношении планирования и согласования проверок органов государственной власти субъектов Российской Федерации, осуществляющих государственное управление в сфере образования, и организаций (далее - федеральный объект проверки):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наименование федерального объекта проверки;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цели и задачи проведения проверки;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8" w:name="P68"/>
      <w:bookmarkEnd w:id="8"/>
      <w:r>
        <w:t>основание для проведения проверки;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сроки проведения проверки;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lastRenderedPageBreak/>
        <w:t>предмет проверки;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форма проверки (выездная, документарная);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вид проверки (плановая, внеплановая);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наименование органа государственного контроля (надзора), с которым проверка проводится совместно;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9" w:name="P74"/>
      <w:bookmarkEnd w:id="9"/>
      <w:r>
        <w:t>перечень должностных лиц, осуществляющих проверку, а также привлекаемых к проведению проверки экспертов и (или) экспертных организаций;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информация об изменениях, внесенных в план проверок;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г) в отношении результатов проверки: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выявленные нарушения;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реквизиты протоколов об административных правонарушениях и результаты рассмотрения судом указанных протоколов;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решение о признании проверки недействительной с указанием оснований такого признания;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решение об отмене результатов проверки;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перечень нарушений требований законодательства Российской Федерации к проведению проверок;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д) в отношении выданных предписаний: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реквизиты предписания;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перечень нарушений, включенных в предписание;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е) информация об устранении нарушений по выданным предписаниям, включая информацию о представлении оператору информационной системы отчетов об исполнении предписаний;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ж) в отношении мер, принятых в связи с неисполнением предписаний: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реквизиты протоколов об административных правонарушениях и результаты рассмотрения указанных протоколов судом;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решение о приостановлении действия лицензии на осуществление образовательной деятельности, возобновлении ее действия, ее аннулировании;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решение о приостановлении действия государственной аккредитации, возобновлении ее действия, о лишении организации государственной аккредитации;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10" w:name="P90"/>
      <w:bookmarkEnd w:id="10"/>
      <w:r>
        <w:t>з) информация о направленных оператору информационной системы обращениях физических и (или) юридических лиц с жалобами на действия (бездействие) должностных лиц федеральных объектов проверки.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11" w:name="P91"/>
      <w:bookmarkEnd w:id="11"/>
      <w:r>
        <w:t>13. Уполномоченные органы субъектов Российской Федерации вносят следующую информацию, представляемую в текстовой форме, в части их деятельности: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а) в отношении уполномоченного органа субъекта Российской Федерации: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lastRenderedPageBreak/>
        <w:t>наименование уполномоченного органа субъекта Российской Федерации;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12" w:name="P94"/>
      <w:bookmarkEnd w:id="12"/>
      <w:r>
        <w:t>основной государственный регистрационный номер, идентификационный номер налогоплательщика, код причины постановки на учет в налоговом органе;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13" w:name="P95"/>
      <w:bookmarkEnd w:id="13"/>
      <w:r>
        <w:t>фамилия, имя, отчество (при наличии) и должность руководителя;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график работы, справочные телефоны, адрес электронной почты, адрес официального сайта в сети "Интернет";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реквизиты нормативных правовых актов, регламентирующих деятельность уполномоченного органа субъекта Российской Федерации;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б) в отношении органов местного самоуправления, осуществляющих управление в сфере образования, полномочия по государственному контролю (надзору) за деятельностью которых исполняет уполномоченный орган субъекта Российской Федерации (далее - органы местного самоуправления):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самоуправления;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14" w:name="P101"/>
      <w:bookmarkEnd w:id="14"/>
      <w:r>
        <w:t>основной государственный регистрационный номер, идентификационный номер налогоплательщика, код причины постановки на учет в налоговом органе;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15" w:name="P102"/>
      <w:bookmarkEnd w:id="15"/>
      <w:r>
        <w:t>фамилия, имя, отчество (при наличии) и должность руководителя;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график работы, справочные телефоны, адрес электронной почты, адрес официального сайта в сети "Интернет";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в) в отношении организаций, включая их филиалы, полномочия по государственному контролю (надзору) за деятельностью которых исполняет уполномоченный орган субъекта Российской Федерации: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наименование организации;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16" w:name="P107"/>
      <w:bookmarkEnd w:id="16"/>
      <w:r>
        <w:t>основной государственный регистрационный номер, идентификационный номер налогоплательщика, организационно-правовая форма, код причины постановки на учет в налоговом органе;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17" w:name="P108"/>
      <w:bookmarkEnd w:id="17"/>
      <w:r>
        <w:t>фамилия, имя, отчество (при наличии) и должность руководителя;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график работы, справочные телефоны, адрес электронной почты, адрес официального сайта в сети "Интернет";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г) в отношении индивидуальных предпринимателей, осуществляющих образовательную деятельность (далее - индивидуальные предприниматели), полномочия по государственному контролю (надзору) за деятельностью которых исполняет уполномоченный орган субъекта Российской Федерации: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фамилия, имя, отчество (при наличии) индивидуального предпринимателя, его место жительства в Российской Федерации;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18" w:name="P113"/>
      <w:bookmarkEnd w:id="18"/>
      <w:r>
        <w:lastRenderedPageBreak/>
        <w:t>основной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налогоплательщика;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19" w:name="P114"/>
      <w:bookmarkEnd w:id="19"/>
      <w:r>
        <w:t>адрес места осуществления образовательной деятельности;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график работы, справочные телефоны, адрес электронной почты, адрес официального сайта в сети "Интернет" (при наличии);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д) в отношении планирования и согласования проверок органов местного самоуправления, организаций и индивидуальных предпринимателей (далее - региональные объекты проверки):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наименование регионального объекта проверки;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цели и задачи проведения проверки;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20" w:name="P120"/>
      <w:bookmarkEnd w:id="20"/>
      <w:r>
        <w:t>основание для проведения проверки;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сроки проведения проверки;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предмет проверки;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форма проверки (выездная, документарная);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вид проверки (плановая, внеплановая);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наименование органа государственного контроля (надзора), с которым проверка проводится совместно;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21" w:name="P126"/>
      <w:bookmarkEnd w:id="21"/>
      <w:r>
        <w:t>перечень должностных лиц, осуществляющих проверку, а также привлекаемых к проведению проверки экспертов и (или) экспертных организаций;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информация об изменениях, внесенных в план проверок;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е) в отношении результатов проверки: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выявленные нарушения;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реквизиты протоколов об административных правонарушениях и результаты рассмотрения судом указанных протоколов;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решение о признании проверки недействительной с указанием оснований такого признания;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решение об отмене результатов проверки;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перечень нарушений требований законодательства Российской Федерации к проведению проверок;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ж) в отношении выданных предписаний: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реквизиты предписания;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перечень нарушений, включенных в предписание;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 xml:space="preserve">з) информация об устранении нарушений по выданным предписаниям, включая информацию о представлении в уполномоченный орган субъекта Российской Федерации отчетов </w:t>
      </w:r>
      <w:r>
        <w:lastRenderedPageBreak/>
        <w:t>об исполнении предписаний;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и) в отношении мер, принятых в связи с неисполнением предписаний: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реквизиты протоколов об административных правонарушениях и результаты рассмотрения указанных протоколов судом;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решение о приостановлении действия лицензии на осуществление образовательной деятельности (за исключением индивидуальных предпринимателей, осуществляющих образовательную деятельность непосредственно), возобновлении ее действия, ее аннулировании;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решение о приостановлении действия государственной аккредитации, возобновлении ее действия (за исключением индивидуальных предпринимателей, осуществляющих образовательную деятельность непосредственно), лишении организации государственной аккредитации;</w:t>
      </w:r>
    </w:p>
    <w:p w:rsidR="000618E6" w:rsidRDefault="000618E6">
      <w:pPr>
        <w:pStyle w:val="ConsPlusNormal"/>
        <w:spacing w:before="220"/>
        <w:ind w:firstLine="540"/>
        <w:jc w:val="both"/>
      </w:pPr>
      <w:bookmarkStart w:id="22" w:name="P142"/>
      <w:bookmarkEnd w:id="22"/>
      <w:r>
        <w:t>к) информация об обращении физических и (или) юридических лиц с жалобами на действия (бездействие) должностных лиц региональных объектов проверки.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Внесение в информационную систему информации, получаемой с использованием единой системы межведомственного электронного взаимодействия от федерального органа исполнительной власти, уполномоченного по контролю и надзору в области налогов и сборов, и его территориальных органов, указанных в </w:t>
      </w:r>
      <w:hyperlink w:anchor="P54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55" w:history="1">
        <w:r>
          <w:rPr>
            <w:color w:val="0000FF"/>
          </w:rPr>
          <w:t>четвертом подпункта "а"</w:t>
        </w:r>
      </w:hyperlink>
      <w:r>
        <w:t xml:space="preserve">, </w:t>
      </w:r>
      <w:hyperlink w:anchor="P60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61" w:history="1">
        <w:r>
          <w:rPr>
            <w:color w:val="0000FF"/>
          </w:rPr>
          <w:t>четвертом подпункта "б" пункта 12</w:t>
        </w:r>
      </w:hyperlink>
      <w:r>
        <w:t xml:space="preserve"> настоящих Правил, </w:t>
      </w:r>
      <w:hyperlink w:anchor="P94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95" w:history="1">
        <w:r>
          <w:rPr>
            <w:color w:val="0000FF"/>
          </w:rPr>
          <w:t>четвертом подпункта "а"</w:t>
        </w:r>
      </w:hyperlink>
      <w:r>
        <w:t xml:space="preserve">, </w:t>
      </w:r>
      <w:hyperlink w:anchor="P101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02" w:history="1">
        <w:r>
          <w:rPr>
            <w:color w:val="0000FF"/>
          </w:rPr>
          <w:t>четвертом</w:t>
        </w:r>
        <w:proofErr w:type="gramEnd"/>
        <w:r>
          <w:rPr>
            <w:color w:val="0000FF"/>
          </w:rPr>
          <w:t xml:space="preserve"> подпункта "б"</w:t>
        </w:r>
      </w:hyperlink>
      <w:r>
        <w:t xml:space="preserve">, </w:t>
      </w:r>
      <w:hyperlink w:anchor="P107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08" w:history="1">
        <w:r>
          <w:rPr>
            <w:color w:val="0000FF"/>
          </w:rPr>
          <w:t>четвертом подпункта "в"</w:t>
        </w:r>
      </w:hyperlink>
      <w:r>
        <w:t xml:space="preserve">, </w:t>
      </w:r>
      <w:hyperlink w:anchor="P113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4" w:history="1">
        <w:r>
          <w:rPr>
            <w:color w:val="0000FF"/>
          </w:rPr>
          <w:t>четвертом подпункта "г" пункта 13</w:t>
        </w:r>
      </w:hyperlink>
      <w:r>
        <w:t xml:space="preserve"> настоящих Правил, осуществляется в электронной форме.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 xml:space="preserve">Иная информация, указанная в </w:t>
      </w:r>
      <w:hyperlink w:anchor="P51" w:history="1">
        <w:r>
          <w:rPr>
            <w:color w:val="0000FF"/>
          </w:rPr>
          <w:t>пункте 12</w:t>
        </w:r>
      </w:hyperlink>
      <w:r>
        <w:t xml:space="preserve"> настоящих Правил, вносится в информационную систему оператором информационной системы, информация, указанная в </w:t>
      </w:r>
      <w:hyperlink w:anchor="P91" w:history="1">
        <w:r>
          <w:rPr>
            <w:color w:val="0000FF"/>
          </w:rPr>
          <w:t>пункте 13</w:t>
        </w:r>
      </w:hyperlink>
      <w:r>
        <w:t xml:space="preserve"> настоящих Правил, - уполномоченными органами субъектов Российской Федерации, в том числе с использованием единой системы межведомственного электронного взаимодействия.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15. Органы по контролю (надзору) вносят в информационную систему следующую информацию, представляемую в форме электронного документа, в том числе с использованием единой системы межведомственного электронного взаимодействия: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а) проект ежегодного плана проведения плановых проверок юридических лиц (ежегодного плана проведения плановых проверок юридических лиц и индивидуальных предпринимателей) органом по контролю (надзору);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б) ежегодный план проведения плановых проверок юридических лиц (ежегодный план проведения плановых проверок юридических лиц и индивидуальных предпринимателей) органом по контролю (надзору), утвержденный руководителем органа по контролю (надзору) и согласованный с органами прокуратуры;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 xml:space="preserve">в) план </w:t>
      </w:r>
      <w:proofErr w:type="gramStart"/>
      <w:r>
        <w:t>проведения плановых проверок органов государственной власти субъектов Российской</w:t>
      </w:r>
      <w:proofErr w:type="gramEnd"/>
      <w:r>
        <w:t xml:space="preserve"> Федерации, утвержденный руководителем оператора информационной системы (вносится оператором информационной системы);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г) план проведения плановых проверок органов местного самоуправления, утвержденный руководителем уполномоченного органа субъекта Российской Федерации (вносится уполномоченным органом субъекта Российской Федерации);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д) документ, явившийся основанием для проведения внеплановой проверки;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lastRenderedPageBreak/>
        <w:t>е) документ, подтверждающий согласование с органами прокуратуры проведения внеплановой проверки в случаях, предусмотренных законодательством Российской Федерации;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ж) распорядительный акт органа по контролю (надзору) о проведении проверки;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з) акт проверки;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и) экспертные заключения экспертов и (или) экспертных организаций, привлеченных к проведению проверки;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к) отчет о проведении проверки, утвержденный руководителем (заместителем руководителя) органа по контролю (надзору);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л) протокол об административном правонарушении;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м) письмо органа по контролю (надзору) о направлении протокола об административном правонарушении в суд;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н) постановление суда по делу об административном правонарушении;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о) предписание об устранении выявленных нарушений;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п) отчет об исполнении предписания;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р) служебная записка на имя руководителя (заместителя руководителя) органа по контролю (надзору) о результатах рассмотрения должностным лицом, проводившим проверку, отчета об исполнении предписания с предложениями о действиях, которые необходимо произвести в отношении объекта проверки;</w:t>
      </w:r>
    </w:p>
    <w:p w:rsidR="000618E6" w:rsidRDefault="000618E6">
      <w:pPr>
        <w:pStyle w:val="ConsPlusNormal"/>
        <w:spacing w:before="220"/>
        <w:ind w:firstLine="540"/>
        <w:jc w:val="both"/>
      </w:pPr>
      <w:proofErr w:type="gramStart"/>
      <w:r>
        <w:t>с) письмо органа по контролю (надзору) о положительном или об отрицательном результате рассмотрения вопроса об исполнении предписания, направляемое объекту проверки;</w:t>
      </w:r>
      <w:proofErr w:type="gramEnd"/>
    </w:p>
    <w:p w:rsidR="000618E6" w:rsidRDefault="000618E6">
      <w:pPr>
        <w:pStyle w:val="ConsPlusNormal"/>
        <w:spacing w:before="220"/>
        <w:ind w:firstLine="540"/>
        <w:jc w:val="both"/>
      </w:pPr>
      <w:r>
        <w:t>т) письмо органа по контролю (надзору) о передаче материалов проверки в правоохранительные органы;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>у) письмо органа по контролю (надзору) о неисполнении предписания, направляемое учредителю организации.</w:t>
      </w:r>
    </w:p>
    <w:p w:rsidR="000618E6" w:rsidRDefault="000618E6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Органы по контролю (надзору) осуществляют распространение информации, указанной в </w:t>
      </w:r>
      <w:hyperlink w:anchor="P51" w:history="1">
        <w:r>
          <w:rPr>
            <w:color w:val="0000FF"/>
          </w:rPr>
          <w:t>пунктах 12</w:t>
        </w:r>
      </w:hyperlink>
      <w:r>
        <w:t xml:space="preserve"> и </w:t>
      </w:r>
      <w:hyperlink w:anchor="P91" w:history="1">
        <w:r>
          <w:rPr>
            <w:color w:val="0000FF"/>
          </w:rPr>
          <w:t>13</w:t>
        </w:r>
      </w:hyperlink>
      <w:r>
        <w:t xml:space="preserve"> настоящих Правил, посредством ее публикации на своих официальных сайтах в сети "Интернет", за исключением информации, указанной в </w:t>
      </w:r>
      <w:hyperlink w:anchor="P68" w:history="1">
        <w:r>
          <w:rPr>
            <w:color w:val="0000FF"/>
          </w:rPr>
          <w:t>абзаце пятом подпункта "в" пункта 12</w:t>
        </w:r>
      </w:hyperlink>
      <w:r>
        <w:t xml:space="preserve"> настоящих Правил (в случае если основанием для проведения проверки является обращение гражданина (граждан), поступившее в Федеральную службу по надзору в сфере образования и науки</w:t>
      </w:r>
      <w:proofErr w:type="gramEnd"/>
      <w:r>
        <w:t xml:space="preserve">), </w:t>
      </w:r>
      <w:hyperlink w:anchor="P74" w:history="1">
        <w:r>
          <w:rPr>
            <w:color w:val="0000FF"/>
          </w:rPr>
          <w:t>абзаце одиннадцатом подпункта "в"</w:t>
        </w:r>
      </w:hyperlink>
      <w:r>
        <w:t xml:space="preserve"> и </w:t>
      </w:r>
      <w:hyperlink w:anchor="P90" w:history="1">
        <w:r>
          <w:rPr>
            <w:color w:val="0000FF"/>
          </w:rPr>
          <w:t>подпункте "з" пункта 12</w:t>
        </w:r>
      </w:hyperlink>
      <w:r>
        <w:t xml:space="preserve"> настоящих Правил, </w:t>
      </w:r>
      <w:hyperlink w:anchor="P120" w:history="1">
        <w:r>
          <w:rPr>
            <w:color w:val="0000FF"/>
          </w:rPr>
          <w:t>абзаце пятом подпункта "д" пункта 13</w:t>
        </w:r>
      </w:hyperlink>
      <w:r>
        <w:t xml:space="preserve"> настоящих Правил (в случае если основанием для проведения проверки является обращение гражданина (граждан), поступившее в уполномоченный орган субъекта Российской Федерации), </w:t>
      </w:r>
      <w:hyperlink w:anchor="P126" w:history="1">
        <w:r>
          <w:rPr>
            <w:color w:val="0000FF"/>
          </w:rPr>
          <w:t>абзаце одиннадцатом подпункта "д"</w:t>
        </w:r>
      </w:hyperlink>
      <w:r>
        <w:t xml:space="preserve"> и </w:t>
      </w:r>
      <w:hyperlink w:anchor="P142" w:history="1">
        <w:r>
          <w:rPr>
            <w:color w:val="0000FF"/>
          </w:rPr>
          <w:t>подпункте "</w:t>
        </w:r>
        <w:proofErr w:type="gramStart"/>
        <w:r>
          <w:rPr>
            <w:color w:val="0000FF"/>
          </w:rPr>
          <w:t>к</w:t>
        </w:r>
        <w:proofErr w:type="gramEnd"/>
        <w:r>
          <w:rPr>
            <w:color w:val="0000FF"/>
          </w:rPr>
          <w:t>" пункта 13</w:t>
        </w:r>
      </w:hyperlink>
      <w:r>
        <w:t xml:space="preserve"> настоящих Правил.</w:t>
      </w:r>
    </w:p>
    <w:p w:rsidR="000618E6" w:rsidRDefault="000618E6">
      <w:pPr>
        <w:pStyle w:val="ConsPlusNormal"/>
        <w:ind w:firstLine="540"/>
        <w:jc w:val="both"/>
      </w:pPr>
    </w:p>
    <w:p w:rsidR="000618E6" w:rsidRDefault="000618E6">
      <w:pPr>
        <w:pStyle w:val="ConsPlusNormal"/>
        <w:ind w:firstLine="540"/>
        <w:jc w:val="both"/>
      </w:pPr>
    </w:p>
    <w:p w:rsidR="000618E6" w:rsidRDefault="000618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996" w:rsidRDefault="00626996"/>
    <w:sectPr w:rsidR="00626996" w:rsidSect="00B9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E6"/>
    <w:rsid w:val="000618E6"/>
    <w:rsid w:val="0055308F"/>
    <w:rsid w:val="00626996"/>
    <w:rsid w:val="00D2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1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18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1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18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F838B1BB90A541F1FBF0BAFF0C4B6D64EDF6A689D34CD229C8313A64046156AA7868B63B2F1C1b5E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4F838B1BB90A541F1FBF0BAFF0C4B6DD4FD66A689069C72AC58F11bAE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4F838B1BB90A541F1FBF0BAFF0C4B6DD4FD66A689069C72AC58F11bAE1E" TargetMode="External"/><Relationship Id="rId5" Type="http://schemas.openxmlformats.org/officeDocument/2006/relationships/hyperlink" Target="consultantplus://offline/ref=6A4F838B1BB90A541F1FBF0BAFF0C4B6D644D96B689334CD229C8313A64046156AA7868B63B3F2C6b5E1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Кривошеин-Гончаров Владислав Валерьевич</dc:creator>
  <cp:lastModifiedBy>Меркулова</cp:lastModifiedBy>
  <cp:revision>4</cp:revision>
  <dcterms:created xsi:type="dcterms:W3CDTF">2018-01-29T04:04:00Z</dcterms:created>
  <dcterms:modified xsi:type="dcterms:W3CDTF">2018-01-31T10:16:00Z</dcterms:modified>
</cp:coreProperties>
</file>